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7E7" w:rsidRDefault="00B75E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/>
          <w:bCs/>
        </w:rPr>
        <w:t xml:space="preserve">   </w:t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3407E7" w:rsidRDefault="003407E7">
      <w:pPr>
        <w:spacing w:line="240" w:lineRule="auto"/>
        <w:jc w:val="center"/>
        <w:rPr>
          <w:rFonts w:ascii="Corbel" w:hAnsi="Corbel"/>
          <w:bCs/>
          <w:i/>
        </w:rPr>
      </w:pPr>
    </w:p>
    <w:p w:rsidR="003407E7" w:rsidRDefault="00B75E48">
      <w:pPr>
        <w:spacing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</w:rPr>
        <w:t>SYLABUS</w:t>
      </w:r>
    </w:p>
    <w:p w:rsidR="003407E7" w:rsidRDefault="00B75E48">
      <w:pPr>
        <w:spacing w:after="0" w:line="240" w:lineRule="exact"/>
        <w:jc w:val="center"/>
      </w:pPr>
      <w:r>
        <w:rPr>
          <w:rFonts w:ascii="Corbel" w:hAnsi="Corbel"/>
          <w:b/>
          <w:smallCaps/>
        </w:rPr>
        <w:t>dotyczy cyklu kształcenia</w:t>
      </w:r>
      <w:r>
        <w:rPr>
          <w:rFonts w:ascii="Corbel" w:hAnsi="Corbel"/>
          <w:b/>
          <w:i/>
          <w:smallCaps/>
        </w:rPr>
        <w:t xml:space="preserve"> 2021/2022 – 2025/2026</w:t>
      </w:r>
    </w:p>
    <w:p w:rsidR="003407E7" w:rsidRDefault="00B75E48">
      <w:pPr>
        <w:spacing w:after="0" w:line="240" w:lineRule="exact"/>
        <w:jc w:val="both"/>
        <w:rPr>
          <w:rFonts w:ascii="Corbel" w:hAnsi="Corbel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</w:t>
      </w:r>
      <w:r w:rsidR="00EE6605">
        <w:rPr>
          <w:rFonts w:ascii="Corbel" w:hAnsi="Corbel"/>
          <w:i/>
        </w:rPr>
        <w:tab/>
      </w:r>
      <w:r w:rsidR="00EE6605">
        <w:rPr>
          <w:rFonts w:ascii="Corbel" w:hAnsi="Corbel"/>
          <w:i/>
        </w:rPr>
        <w:tab/>
        <w:t>(skrajne daty)</w:t>
      </w:r>
    </w:p>
    <w:p w:rsidR="003407E7" w:rsidRDefault="00B75E48">
      <w:pPr>
        <w:spacing w:after="0" w:line="240" w:lineRule="exact"/>
        <w:jc w:val="both"/>
      </w:pP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</w:r>
      <w:r>
        <w:rPr>
          <w:rFonts w:ascii="Corbel" w:hAnsi="Corbel"/>
        </w:rPr>
        <w:tab/>
        <w:t>Rok akademicki  2021/2022</w:t>
      </w: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 w:val="22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8"/>
        <w:gridCol w:w="7093"/>
      </w:tblGrid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 w:cs="Corbel"/>
                <w:sz w:val="22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Pr="00EE6605" w:rsidRDefault="00B75E48">
            <w:pPr>
              <w:pStyle w:val="Odpowiedzi"/>
              <w:snapToGrid w:val="0"/>
              <w:rPr>
                <w:rFonts w:ascii="Corbel" w:hAnsi="Corbel" w:cs="Corbel"/>
                <w:color w:val="auto"/>
                <w:sz w:val="22"/>
                <w:szCs w:val="24"/>
              </w:rPr>
            </w:pPr>
            <w:r w:rsidRPr="00EE6605">
              <w:rPr>
                <w:rFonts w:ascii="Corbel" w:hAnsi="Corbel" w:cs="Corbel"/>
                <w:color w:val="auto"/>
                <w:sz w:val="22"/>
              </w:rPr>
              <w:t>Organy i korporacje ochrony prawa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</w:rPr>
            </w:pPr>
            <w:r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Zakład Ustrojów Państw Europejskich Instytutu Nauk Prawnych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/>
                <w:color w:val="auto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Rok I, semestr 2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napToGrid w:val="0"/>
              <w:spacing w:before="0" w:after="0"/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Obowiązkowy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3407E7" w:rsidRPr="00F51BAB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spacing w:beforeAutospacing="1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fr-FR"/>
              </w:rPr>
            </w:pPr>
            <w:r>
              <w:rPr>
                <w:rFonts w:ascii="Corbel" w:hAnsi="Corbel"/>
                <w:b w:val="0"/>
                <w:color w:val="auto"/>
                <w:sz w:val="22"/>
                <w:lang w:val="fr-FR"/>
              </w:rPr>
              <w:t>dr hab. Viktoriya Serzhanova, prof. UR</w:t>
            </w:r>
          </w:p>
        </w:tc>
      </w:tr>
      <w:tr w:rsidR="003407E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Odpowiedzi"/>
              <w:rPr>
                <w:rFonts w:ascii="Corbel" w:hAnsi="Corbel" w:cs="Corbel"/>
                <w:b w:val="0"/>
                <w:color w:val="auto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2"/>
              </w:rPr>
              <w:t>Pracownicy zgodnie z obciążeniami dydaktycznymi na dany rok akademicki</w:t>
            </w:r>
          </w:p>
        </w:tc>
      </w:tr>
    </w:tbl>
    <w:p w:rsidR="003407E7" w:rsidRDefault="00B75E4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* </w:t>
      </w:r>
      <w:r>
        <w:rPr>
          <w:rFonts w:ascii="Corbel" w:hAnsi="Corbel"/>
          <w:i/>
          <w:szCs w:val="22"/>
        </w:rPr>
        <w:t>-</w:t>
      </w:r>
      <w:r>
        <w:rPr>
          <w:rFonts w:ascii="Corbel" w:hAnsi="Corbel"/>
          <w:b w:val="0"/>
          <w:i/>
          <w:szCs w:val="22"/>
        </w:rPr>
        <w:t>opcjonalni</w:t>
      </w:r>
      <w:r>
        <w:rPr>
          <w:rFonts w:ascii="Corbel" w:hAnsi="Corbel"/>
          <w:b w:val="0"/>
          <w:szCs w:val="22"/>
        </w:rPr>
        <w:t>e,</w:t>
      </w:r>
      <w:r>
        <w:rPr>
          <w:rFonts w:ascii="Corbel" w:hAnsi="Corbel"/>
          <w:i/>
          <w:szCs w:val="22"/>
        </w:rPr>
        <w:t xml:space="preserve"> </w:t>
      </w:r>
      <w:r>
        <w:rPr>
          <w:rFonts w:ascii="Corbel" w:hAnsi="Corbel"/>
          <w:b w:val="0"/>
          <w:i/>
          <w:szCs w:val="22"/>
        </w:rPr>
        <w:t>zgodnie z ustaleniami w Jednostce</w:t>
      </w:r>
    </w:p>
    <w:p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p w:rsidR="003407E7" w:rsidRDefault="00B75E4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 xml:space="preserve">1.1.Formy zajęć dydaktycznych, wymiar godzin i punktów ECTS </w:t>
      </w:r>
    </w:p>
    <w:p w:rsidR="003407E7" w:rsidRDefault="003407E7">
      <w:pPr>
        <w:pStyle w:val="Podpunkty"/>
        <w:ind w:left="0"/>
        <w:rPr>
          <w:rFonts w:ascii="Corbel" w:hAnsi="Corbel"/>
          <w:szCs w:val="22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928"/>
        <w:gridCol w:w="801"/>
        <w:gridCol w:w="851"/>
        <w:gridCol w:w="811"/>
        <w:gridCol w:w="828"/>
        <w:gridCol w:w="779"/>
        <w:gridCol w:w="962"/>
        <w:gridCol w:w="1201"/>
        <w:gridCol w:w="1542"/>
      </w:tblGrid>
      <w:tr w:rsidR="003407E7" w:rsidTr="00EE6605"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Sem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2"/>
              </w:rPr>
              <w:t>Liczba pkt. ECTS</w:t>
            </w:r>
          </w:p>
        </w:tc>
      </w:tr>
      <w:tr w:rsidR="003407E7" w:rsidTr="00EE6605">
        <w:trPr>
          <w:trHeight w:val="4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centralniewrubryce"/>
              <w:spacing w:before="0"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II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 w:rsidP="00EE66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Pr="00EE6605" w:rsidRDefault="00B75E48" w:rsidP="00EE6605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 xml:space="preserve"> 30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3407E7">
            <w:pPr>
              <w:pStyle w:val="centralniewrubryce"/>
              <w:spacing w:before="0" w:after="0"/>
              <w:rPr>
                <w:rFonts w:ascii="Corbel" w:hAnsi="Corbel"/>
                <w:bCs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bCs/>
                <w:sz w:val="22"/>
                <w:szCs w:val="22"/>
              </w:rPr>
              <w:t>6</w:t>
            </w:r>
          </w:p>
        </w:tc>
      </w:tr>
    </w:tbl>
    <w:p w:rsidR="003407E7" w:rsidRDefault="003407E7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3407E7" w:rsidRDefault="003407E7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1.2.</w:t>
      </w:r>
      <w:r>
        <w:rPr>
          <w:rFonts w:ascii="Corbel" w:hAnsi="Corbel"/>
          <w:smallCaps w:val="0"/>
          <w:sz w:val="22"/>
        </w:rPr>
        <w:tab/>
        <w:t xml:space="preserve">Sposób realizacji zajęć  </w:t>
      </w:r>
    </w:p>
    <w:p w:rsidR="003407E7" w:rsidRDefault="00B75E48">
      <w:pPr>
        <w:pStyle w:val="Punktygwne"/>
        <w:spacing w:before="0" w:after="0"/>
        <w:ind w:left="709"/>
        <w:rPr>
          <w:rFonts w:ascii="Corbel" w:hAnsi="Corbel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3407E7" w:rsidRDefault="00B75E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;ＭＳ ゴシック" w:hAnsi="Corbel" w:cs="MS Gothic;ＭＳ ゴシック"/>
          <w:b w:val="0"/>
          <w:sz w:val="22"/>
        </w:rPr>
        <w:t>×</w:t>
      </w:r>
      <w:r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</w:rPr>
      </w:pPr>
      <w:r>
        <w:rPr>
          <w:rFonts w:ascii="Corbel" w:hAnsi="Corbel"/>
          <w:smallCaps w:val="0"/>
          <w:sz w:val="22"/>
        </w:rPr>
        <w:t xml:space="preserve">1.3 </w:t>
      </w:r>
      <w:r>
        <w:rPr>
          <w:rFonts w:ascii="Corbel" w:hAnsi="Corbel"/>
          <w:smallCaps w:val="0"/>
          <w:sz w:val="22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3407E7" w:rsidRDefault="003407E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Wykład – egzamin pisemny;</w:t>
      </w:r>
    </w:p>
    <w:p w:rsidR="003407E7" w:rsidRDefault="00B75E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smallCaps w:val="0"/>
          <w:sz w:val="22"/>
        </w:rPr>
        <w:t>Ćwiczenia – zaliczenie z oceną.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 w:val="22"/>
        </w:rPr>
      </w:pPr>
      <w:r>
        <w:rPr>
          <w:rFonts w:ascii="Corbel" w:hAnsi="Corbel"/>
          <w:sz w:val="22"/>
        </w:rPr>
        <w:t xml:space="preserve">2.Wymagania wstępne </w:t>
      </w:r>
    </w:p>
    <w:p w:rsidR="00EE6605" w:rsidRDefault="00EE660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smallCaps w:val="0"/>
                <w:sz w:val="22"/>
              </w:rPr>
              <w:t>Podstawowa wiedza o państwie oraz organizacji organów ochrony prawa.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:rsidR="0010683D" w:rsidRDefault="0010683D">
      <w:pPr>
        <w:pStyle w:val="Punktygwne"/>
        <w:spacing w:before="0" w:after="0"/>
        <w:rPr>
          <w:rFonts w:ascii="Corbel" w:hAnsi="Corbel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  <w:r>
        <w:rPr>
          <w:rFonts w:ascii="Corbel" w:hAnsi="Corbel"/>
          <w:sz w:val="22"/>
        </w:rPr>
        <w:lastRenderedPageBreak/>
        <w:t>3. cele, efekty uczenia się , treści Programowe i stosowane metody Dydaktyczne</w:t>
      </w:r>
    </w:p>
    <w:p w:rsidR="003407E7" w:rsidRDefault="003407E7">
      <w:pPr>
        <w:pStyle w:val="Punktygwne"/>
        <w:spacing w:before="0" w:after="0"/>
        <w:rPr>
          <w:rFonts w:ascii="Corbel" w:hAnsi="Corbel"/>
          <w:sz w:val="22"/>
        </w:rPr>
      </w:pPr>
    </w:p>
    <w:p w:rsidR="003407E7" w:rsidRDefault="00B75E4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Cs w:val="22"/>
        </w:rPr>
        <w:t>3.1 Cele przedmiotu</w:t>
      </w:r>
    </w:p>
    <w:p w:rsidR="003407E7" w:rsidRDefault="003407E7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3407E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odpunkty"/>
              <w:snapToGrid w:val="0"/>
              <w:spacing w:before="40" w:after="40"/>
              <w:ind w:left="0"/>
              <w:rPr>
                <w:rFonts w:ascii="Corbel" w:hAnsi="Corbel" w:cs="Corbel"/>
                <w:b w:val="0"/>
                <w:szCs w:val="22"/>
              </w:rPr>
            </w:pPr>
            <w:r>
              <w:rPr>
                <w:rFonts w:ascii="Corbel" w:hAnsi="Corbel" w:cs="Corbel"/>
                <w:b w:val="0"/>
                <w:i/>
                <w:szCs w:val="22"/>
              </w:rPr>
              <w:t xml:space="preserve">Zajęcia mają na celu zapoznanie studentów z problematyką organizacji i funkcjonowania krajowych i pozakrajowych organów ochrony prawa i korporacji, ze szczególnym  uwzględnieniem roli poszczególnych organów ustrojowych i instytucji ochrony prawa w organizacji państwa </w:t>
            </w:r>
            <w:r>
              <w:rPr>
                <w:rFonts w:ascii="Corbel" w:hAnsi="Corbel" w:cs="Corbel"/>
                <w:b w:val="0"/>
                <w:i/>
                <w:szCs w:val="22"/>
              </w:rPr>
              <w:br/>
              <w:t>i współczesnego społeczeństwa.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3.2 Efekty uczenia się dla przedmiotu</w:t>
      </w:r>
      <w:r>
        <w:rPr>
          <w:rFonts w:ascii="Corbel" w:hAnsi="Corbel"/>
        </w:rPr>
        <w:t xml:space="preserve"> </w:t>
      </w:r>
    </w:p>
    <w:p w:rsidR="003407E7" w:rsidRDefault="003407E7">
      <w:pPr>
        <w:spacing w:after="0" w:line="240" w:lineRule="auto"/>
        <w:rPr>
          <w:rFonts w:ascii="Corbel" w:hAnsi="Corbel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i rozszerzoną wiedzę na temat najważniejszych krajowych oraz pozakrajowych organów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K_W02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źródeł i instytucji polskiego systemu prawa 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procesów stanowienia prawa przez najważniejsze instytucje</w:t>
            </w:r>
          </w:p>
          <w:p w:rsidR="003407E7" w:rsidRDefault="003407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ma pogłębioną wiedzę na temat procesów stosowania prawa przez najważniejsze instytucje prawodawcze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i rozumie terminologię właściwą dla języka prawnego i prawniczego oraz zna i definiuje podstawowe pojęcia z zakresu prawa i teorii konstytucji oraz organów ochrony prawa i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wymienia najważniejsze instytucje państwowe oraz cechy charakterystyczne dla organów państwowych w zakresie ochrony praw obywatela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07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rozszerzoną wiedzę i charakteryzuje poszczególne organy, instytucje, mechanizmy oraz korporacje istniejące w ramach ustroju państwowego oraz w obszarze prawa międzynarodowego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K_W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ma pogłębioną wiedzę na temat etyki zawodowej sędziów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bookmarkStart w:id="1" w:name="__DdeLink__3097_1763919577"/>
            <w:r>
              <w:rPr>
                <w:rFonts w:ascii="Corbel" w:hAnsi="Corbel"/>
                <w:b w:val="0"/>
                <w:smallCaps w:val="0"/>
                <w:sz w:val="22"/>
              </w:rPr>
              <w:t>K_W09</w:t>
            </w:r>
            <w:bookmarkEnd w:id="1"/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zna ogólne zasady tworzenia i rozwoju form przedsiębiorczości oraz form indywidualnego rozwoju</w:t>
            </w:r>
          </w:p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zawodowego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K_W13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interpretuje stosowne przepisy ustaw i Konstytucji oraz potrafi prawidłowo wyjaśniać znaczenie norm i stosunków prawnych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K_U01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analizować przyczyny i przebieg procesu stanowienia prawa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analizuje przepisy Konstytucji, ustaw, rozporządzeń, zarządzeń oraz orzecznictwo, także potrafi analizować przyczyny i przebieg procesu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sprawnie posługuje się normami, regułami oraz instytucjami prawnymi obowiązującymi w polskim systemie prawa, a także rozwiązuje stany prawne i faktyczne dotyczące omawianych zagadnień z zakresu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formułuje indywidualne poglądy, przemyślenia i własne opinie na podstawie uzyskanych informacji dotyczących stanowienia i stosowania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</w:t>
            </w:r>
            <w:r>
              <w:rPr>
                <w:rFonts w:ascii="Corbel" w:eastAsia="Cambria" w:hAnsi="Corbel"/>
                <w:b w:val="0"/>
                <w:smallCaps w:val="0"/>
                <w:sz w:val="22"/>
              </w:rPr>
              <w:t>U06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dostrzega zjawisko dynamiki zmian w prawie dotyczącym organów i korporacji ochrony prawa, a także sprawnie posługuje się tekstami aktów normatywnych i potrafi interpretować je z wykorzystaniem języka prawniczego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eastAsia="Cambria" w:hAnsi="Corbel"/>
                <w:b w:val="0"/>
                <w:sz w:val="22"/>
              </w:rPr>
              <w:t>K_U08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student wykorzystując posiadaną wiedzę teoretyczną i umiejętność samodzielnego proponowania rozwiązań posiada umiejętność sporządzania podstawowych dokumentów oraz pism procesowych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_17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określić obszary życia społecznego, które podlegają bądź mogą podlegać w przyszłości regulacją prawnym oraz potrafi interpretować wybrane orzecznictwo bezpośrednio związane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posiada umiejętności wykorzystania zdobytej wiedzy teoretycznej dla rozwiązania problemu prawnego bezpośrednio związanego z organami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>
              <w:rPr>
                <w:rFonts w:ascii="Corbel" w:hAnsi="Corbel"/>
                <w:b w:val="0"/>
                <w:smallCaps w:val="0"/>
                <w:sz w:val="22"/>
              </w:rPr>
              <w:softHyphen/>
              <w:t>_19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student potrafi samodzielnie planować i realizować własne uczenie się, w szczególności w zakresie najważniejszych organów państwowych oraz korporacji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K_U17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ma świadomość zmienności systemu norm prawnych która prowadzi do konieczności ciągłego uzupełniania i doskonalenia zdobytej wiedzy dotyczącej organów i korporacji ochrony prawa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potrafi odpowiednio określić priorytety służące realizacji określonego przez siebie lub innych zadania związanego bezpośrednio z wymiarem sprawiedliwości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ma świadomość społecznego znaczenia zawodu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K_K04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rozumie konieczność stosowania etycznych zasad w życiu zawodowym adwokata, notariusza, radcy prawnego, komornika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K_K05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>rozumie i ma świadomość potrzeby podejmowania działań na</w:t>
            </w:r>
          </w:p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rzecz zwiększania poziomu społecznej świadomości związanej z tematyką wymiaru sprawiedliwości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K_K06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potrafi myśleć i działać w sposób przedsiębiorczy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K_K08</w:t>
            </w:r>
          </w:p>
        </w:tc>
      </w:tr>
      <w:tr w:rsidR="003407E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</w:rPr>
              <w:softHyphen/>
              <w:t>_26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sz w:val="22"/>
              </w:rPr>
            </w:pPr>
            <w:r>
              <w:rPr>
                <w:rFonts w:ascii="Corbel" w:eastAsia="Cambria" w:hAnsi="Corbel"/>
                <w:sz w:val="22"/>
              </w:rPr>
              <w:t xml:space="preserve">jest otwarty na zdobywanie nowych doświadczeń zawodowych w różnych instytucjach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:rsidR="003407E7" w:rsidRDefault="003407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3407E7" w:rsidRDefault="003407E7">
      <w:pPr>
        <w:spacing w:line="240" w:lineRule="auto"/>
        <w:jc w:val="both"/>
        <w:rPr>
          <w:rFonts w:ascii="Corbel" w:hAnsi="Corbel"/>
          <w:b/>
        </w:rPr>
      </w:pPr>
    </w:p>
    <w:p w:rsidR="003407E7" w:rsidRDefault="00B75E48">
      <w:p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b/>
        </w:rPr>
        <w:t>3.3 Treści programowe</w:t>
      </w:r>
    </w:p>
    <w:p w:rsidR="003407E7" w:rsidRDefault="003407E7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</w:p>
    <w:p w:rsidR="003407E7" w:rsidRDefault="00B75E48">
      <w:pPr>
        <w:pStyle w:val="Akapitzlist"/>
        <w:spacing w:after="120" w:line="240" w:lineRule="auto"/>
        <w:ind w:left="737"/>
        <w:jc w:val="both"/>
        <w:rPr>
          <w:rFonts w:ascii="Corbel" w:hAnsi="Corbel"/>
        </w:rPr>
      </w:pPr>
      <w:r>
        <w:rPr>
          <w:rFonts w:ascii="Corbel" w:hAnsi="Corbel"/>
        </w:rPr>
        <w:t xml:space="preserve">A. Problematyka wykładu </w:t>
      </w:r>
    </w:p>
    <w:p w:rsidR="003407E7" w:rsidRDefault="003407E7">
      <w:pPr>
        <w:pStyle w:val="Akapitzlist"/>
        <w:spacing w:after="120" w:line="240" w:lineRule="auto"/>
        <w:jc w:val="both"/>
        <w:rPr>
          <w:rFonts w:ascii="Corbel" w:hAnsi="Corbel" w:cs="Corbel"/>
        </w:rPr>
      </w:pPr>
    </w:p>
    <w:tbl>
      <w:tblPr>
        <w:tblW w:w="84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8"/>
      </w:tblGrid>
      <w:tr w:rsidR="003407E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Treści merytoryczne</w:t>
            </w:r>
          </w:p>
        </w:tc>
      </w:tr>
      <w:tr w:rsidR="003407E7" w:rsidTr="00EE6605">
        <w:tc>
          <w:tcPr>
            <w:tcW w:w="8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22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970"/>
              <w:gridCol w:w="1252"/>
            </w:tblGrid>
            <w:tr w:rsidR="003407E7" w:rsidTr="00EE6605">
              <w:trPr>
                <w:trHeight w:val="1875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pStyle w:val="centralniewrubryce"/>
                    <w:numPr>
                      <w:ilvl w:val="0"/>
                      <w:numId w:val="2"/>
                    </w:numPr>
                    <w:jc w:val="left"/>
                    <w:rPr>
                      <w:rFonts w:ascii="Corbel" w:hAnsi="Corbel"/>
                      <w:sz w:val="22"/>
                      <w:szCs w:val="22"/>
                    </w:rPr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lastRenderedPageBreak/>
                    <w:t>Teoria organów państwowych:</w:t>
                  </w:r>
                </w:p>
                <w:p w:rsidR="003407E7" w:rsidRDefault="00B75E48" w:rsidP="00EE6605">
                  <w:pPr>
                    <w:pStyle w:val="centralniewrubryce"/>
                    <w:ind w:left="820" w:hanging="360"/>
                    <w:jc w:val="left"/>
                  </w:pPr>
                  <w:r>
                    <w:rPr>
                      <w:rFonts w:ascii="Corbel" w:hAnsi="Corbel"/>
                      <w:sz w:val="22"/>
                      <w:szCs w:val="22"/>
                    </w:rPr>
                    <w:t>pojęcie organu; klasyfikacje organów; system organów. Pojęcie wymiaru sprawiedliwości. Konstytucyjne zasady organizacji i funkcjonowania wymiaru sprawiedliwości w RP. Prawo do obrony. Europejskie standardy odnoszące się do wymiaru sprawiedliwości.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150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pStyle w:val="Akapitzlist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Organy wymiaru sprawiedliwości. Konstytucyjne organy ochrony prawa. Informatyzacja wymiaru sprawiedliwości. Krajowa Szkoła Sądownictwa i Prokuratury. Minister Sprawiedliwości. Krajowa Rada Sądownictwa.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69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powszechne.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Sądy administracyjne, sądy wojskowe, Sąd Najwyższy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Stanu, Trybuna</w:t>
                  </w:r>
                  <w:r>
                    <w:rPr>
                      <w:rFonts w:ascii="Corbel" w:hAnsi="Corbel"/>
                    </w:rPr>
                    <w:br/>
                    <w:t xml:space="preserve"> Konstytucyjny.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</w:t>
                  </w:r>
                </w:p>
              </w:tc>
            </w:tr>
            <w:tr w:rsidR="003407E7" w:rsidTr="00EE6605">
              <w:trPr>
                <w:trHeight w:val="75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Najwyższa Izba Kontroli. Rzecznik</w:t>
                  </w:r>
                  <w:r>
                    <w:rPr>
                      <w:rFonts w:ascii="Corbel" w:hAnsi="Corbel"/>
                    </w:rPr>
                    <w:br/>
                    <w:t>Praw Obywatelskich. Rzecznik Praw Dziecka.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Prezes Urzędu Ochrony Danych Osobowych. Krajowa Rada Radiofonii i Telewizji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996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EE6605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Pozakonstytucyjne</w:t>
                  </w:r>
                  <w:r w:rsidR="00B75E48">
                    <w:rPr>
                      <w:rFonts w:ascii="Corbel" w:hAnsi="Corbel"/>
                    </w:rPr>
                    <w:t xml:space="preserve"> organy ochrony prawa: Prokuratura. Prokuratoria Generalna Skarbu Państwa. Organy policyjne. Służby specjalne w RP.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8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Inspekcje, służby, urzędy.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25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Europejska Konwencja o Ochronie Praw Człowieka i Podstawowych Wolności. Europejski Trybunał Praw Człowieka. Komisarz Praw Człowieka Rady Europy.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92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Trybunał Sprawiedliwości Unii Europejskiej. Międzynarodowy Trybunał Karny.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Ombudsman Unii Europejskiej. Europejski Inspektor Ochrony Danych.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504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 w:rsidP="00EE6605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Korporacje ochrony prawa: pojęcie korporacji; adwokatura; radcowie prawni; notariat; komornicy sądowi.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480"/>
              </w:trPr>
              <w:tc>
                <w:tcPr>
                  <w:tcW w:w="69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ind w:left="720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</w:rPr>
                    <w:t xml:space="preserve">Suma godzin 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/>
                    </w:rPr>
                    <w:t xml:space="preserve">30 </w:t>
                  </w:r>
                </w:p>
              </w:tc>
            </w:tr>
          </w:tbl>
          <w:p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3407E7" w:rsidRDefault="003407E7">
      <w:pPr>
        <w:spacing w:after="0" w:line="240" w:lineRule="auto"/>
        <w:ind w:left="708" w:hanging="708"/>
        <w:rPr>
          <w:rFonts w:ascii="Corbel" w:hAnsi="Corbel" w:cs="Corbel"/>
        </w:rPr>
      </w:pPr>
    </w:p>
    <w:p w:rsidR="003407E7" w:rsidRDefault="003407E7">
      <w:pPr>
        <w:spacing w:after="0" w:line="240" w:lineRule="auto"/>
        <w:rPr>
          <w:rFonts w:ascii="Corbel" w:hAnsi="Corbel" w:cs="Corbel"/>
        </w:rPr>
      </w:pPr>
    </w:p>
    <w:p w:rsidR="003407E7" w:rsidRDefault="00B75E48">
      <w:pPr>
        <w:pStyle w:val="Akapitzlist"/>
        <w:spacing w:line="240" w:lineRule="auto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</w:rPr>
        <w:t xml:space="preserve">B. Problematyka ćwiczeń audytoryjnych, konwersatoryjnych, laboratoryjnych, zajęć praktycznych </w:t>
      </w:r>
    </w:p>
    <w:p w:rsidR="003407E7" w:rsidRDefault="003407E7">
      <w:pPr>
        <w:pStyle w:val="Akapitzlist"/>
        <w:spacing w:line="240" w:lineRule="auto"/>
        <w:rPr>
          <w:rFonts w:ascii="Corbel" w:hAnsi="Corbel" w:cs="Corbel"/>
        </w:rPr>
      </w:pPr>
    </w:p>
    <w:tbl>
      <w:tblPr>
        <w:tblW w:w="864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7"/>
      </w:tblGrid>
      <w:tr w:rsidR="003407E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3407E7" w:rsidTr="00EE6605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83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120"/>
              <w:gridCol w:w="1276"/>
            </w:tblGrid>
            <w:tr w:rsidR="003407E7" w:rsidTr="00EE6605">
              <w:trPr>
                <w:trHeight w:val="715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Teoria organów państwowych: klasyfikacja organów; system organów; pojęcie organu i korporacji; pojęcie kontroli państwowej, nadzoru oraz inspekcji.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805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pojęcie, konstytucyjne zasady organizacji oraz funkcjonowania wymiaru sprawiedliwości w RP; prawo do obrony; europejskie standardy dotyczące wymiaru sprawiedliwości.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widowControl w:val="0"/>
                    <w:numPr>
                      <w:ilvl w:val="0"/>
                      <w:numId w:val="1"/>
                    </w:numPr>
                    <w:shd w:val="clear" w:color="auto" w:fill="FFFFFF"/>
                    <w:suppressAutoHyphens/>
                    <w:snapToGri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Konstytucyjne organy ochrony prawa: organy wymiaru sprawiedliwości; Informatyzacja wymiaru sprawiedliwości. Krajowa </w:t>
                  </w:r>
                  <w:r>
                    <w:rPr>
                      <w:rFonts w:ascii="Corbel" w:hAnsi="Corbel"/>
                    </w:rPr>
                    <w:lastRenderedPageBreak/>
                    <w:t>Szkoła Sądownictwa I Prokuratury. Krajowa Rada Sądownictwa; Minister Sprawiedliwości.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lastRenderedPageBreak/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hd w:val="clear" w:color="auto" w:fill="FFFFFF"/>
                    <w:snapToGrid w:val="0"/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Sąd Najwyższy; Sądy powszechne; Sądy wojskowe.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Naczelny Sąd Administracyjny; wojewódzkie sądy administracyjne.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Trybunał Stanu; Trybunał Konstytucyjny.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Konstytucyjne organy ochrony prawa: Najwyższa Izba Kontroli; Rzecznik Praw Obywatelskich; Rzecznik Praw Dziecka; Prezes Urzędu Ochrony Danych Osobowych; Krajowa Rada Radiofonii i Telewizji.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Prokuratura – geneza, podstawy prawne działania i organizacji, kompetencje; prokuratorzy wojskowi i organizacja wojskowych jednostek prokuratury; Instytut Pamięci Narodowej – Komisja Ścigania Zbrodni przeciwko Narodowi Polskiemu. Prokuratoria Generalna Skarbu Państwa.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orbel" w:hAnsi="Corbel"/>
                    </w:rPr>
                    <w:t>Pozakonstytucyjne</w:t>
                  </w:r>
                  <w:proofErr w:type="spellEnd"/>
                  <w:r>
                    <w:rPr>
                      <w:rFonts w:ascii="Corbel" w:hAnsi="Corbel"/>
                    </w:rPr>
                    <w:t xml:space="preserve"> organy ochrony prawa: organy policyjne, służby specjalne w RP, Wojskowe Służby Informacyjne, Policja, Żandarmeria Wojskowa, Straż Graniczna; cywilne organy ochrony prawa – służby, inspekcje, urzędy.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Pozakrajowe organy ochrony prawa: Europejski Trybunał Praw Człowieka; Komisarz Praw Człowieka Rady Europy; Międzynarodowy Trybunał Karny; Europejski Trybunał Praw Człowieka; Rzecznik Praw Obywatelskich UE; Europejski Inspektor Ochrony Danych.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Korporacje ochrony prawa:  pojęcie </w:t>
                  </w:r>
                  <w:r>
                    <w:rPr>
                      <w:rFonts w:ascii="Corbel" w:hAnsi="Corbel"/>
                    </w:rPr>
                    <w:t xml:space="preserve">korporacji, adwokatura –podstawy prawne organizacji i funkcjonowania oraz przysługujące kompetencje; radcy prawni - podstawy prawne organizacji i funkcjonowania oraz przysługujące kompetencje; aktualne uregulowania prawne dotyczące dostępu do zawodu adwokata i radcy prawnego – analiza; notariat; komornicy sądowi.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4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>Zaliczenie w formie pisemnej.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2</w:t>
                  </w:r>
                </w:p>
              </w:tc>
            </w:tr>
            <w:tr w:rsidR="003407E7" w:rsidTr="00EE6605">
              <w:trPr>
                <w:trHeight w:val="140"/>
              </w:trPr>
              <w:tc>
                <w:tcPr>
                  <w:tcW w:w="71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3407E7" w:rsidRDefault="00B75E48">
                  <w:pPr>
                    <w:pStyle w:val="Akapitzlist"/>
                    <w:rPr>
                      <w:rFonts w:ascii="Corbel" w:hAnsi="Corbel"/>
                      <w:bCs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Suma godzin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3407E7" w:rsidRDefault="00B75E48">
                  <w:pPr>
                    <w:jc w:val="center"/>
                    <w:rPr>
                      <w:rFonts w:ascii="Corbel" w:hAnsi="Corbel"/>
                      <w:sz w:val="18"/>
                      <w:szCs w:val="18"/>
                    </w:rPr>
                  </w:pPr>
                  <w:r>
                    <w:rPr>
                      <w:rFonts w:ascii="Corbel" w:hAnsi="Corbel"/>
                    </w:rPr>
                    <w:t>30</w:t>
                  </w:r>
                </w:p>
              </w:tc>
            </w:tr>
          </w:tbl>
          <w:p w:rsidR="003407E7" w:rsidRDefault="003407E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3407E7">
      <w:pPr>
        <w:spacing w:after="0" w:line="240" w:lineRule="auto"/>
        <w:rPr>
          <w:rFonts w:ascii="Corbel" w:hAnsi="Corbel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3.4 Metody dydaktyczne</w:t>
      </w:r>
      <w:r>
        <w:rPr>
          <w:rFonts w:ascii="Corbel" w:hAnsi="Corbel"/>
          <w:b w:val="0"/>
          <w:smallCaps w:val="0"/>
          <w:sz w:val="22"/>
        </w:rPr>
        <w:t xml:space="preserve"> 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  <w:szCs w:val="20"/>
        </w:rPr>
      </w:pPr>
      <w:r>
        <w:rPr>
          <w:rFonts w:ascii="Corbel" w:eastAsia="Corbel" w:hAnsi="Corbel" w:cs="Corbel"/>
          <w:b w:val="0"/>
          <w:smallCaps w:val="0"/>
          <w:sz w:val="22"/>
        </w:rPr>
        <w:t>Wykład dydaktyczny przy użyciu metod nauczania teoretycznego, praktycznego, aktywizującego oraz sprzętu multimedialnego.</w:t>
      </w:r>
    </w:p>
    <w:p w:rsidR="003407E7" w:rsidRDefault="003407E7">
      <w:pPr>
        <w:pStyle w:val="Punktygwne"/>
        <w:spacing w:before="0" w:after="0"/>
        <w:jc w:val="both"/>
        <w:rPr>
          <w:rFonts w:ascii="Corbel" w:eastAsia="Corbel" w:hAnsi="Corbel" w:cs="Corbel"/>
          <w:b w:val="0"/>
          <w:smallCaps w:val="0"/>
          <w:sz w:val="22"/>
        </w:rPr>
      </w:pPr>
    </w:p>
    <w:p w:rsidR="003407E7" w:rsidRDefault="00B75E48">
      <w:pPr>
        <w:spacing w:after="0" w:line="240" w:lineRule="auto"/>
        <w:jc w:val="both"/>
        <w:rPr>
          <w:rFonts w:eastAsia="Cambria"/>
        </w:rPr>
      </w:pPr>
      <w:r>
        <w:rPr>
          <w:rFonts w:ascii="Corbel" w:eastAsia="Cambria" w:hAnsi="Corbel"/>
        </w:rPr>
        <w:t>Ćwiczenia prowadzone metodą konwersatoryjną, wymagające samodzielnego uprzedniego zapoznania się z teoretycznymi aspektami zagadnień omawianych na poszczególnych zajęciach.</w:t>
      </w:r>
    </w:p>
    <w:p w:rsidR="003407E7" w:rsidRDefault="00B75E48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>Praca w grupach, analiza przypadków, dyskusja.</w:t>
      </w: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 METODY I KRYTERIA OCENY </w:t>
      </w:r>
    </w:p>
    <w:p w:rsidR="003407E7" w:rsidRDefault="003407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>4.1 Sposoby weryfikacji efektów uczenia się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5"/>
        <w:gridCol w:w="5527"/>
        <w:gridCol w:w="2137"/>
      </w:tblGrid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  <w:b w:val="0"/>
                <w:smallCaps w:val="0"/>
                <w:sz w:val="22"/>
              </w:rPr>
              <w:t>Metody oceny efektów uczenia się</w:t>
            </w:r>
          </w:p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3407E7" w:rsidRDefault="00B75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lastRenderedPageBreak/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EK_09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EGZAMIN PISEMNY, KOLOKWIUM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</w:rPr>
            </w:pPr>
            <w:r>
              <w:rPr>
                <w:rFonts w:ascii="Corbel" w:hAnsi="Corbel"/>
                <w:b w:val="0"/>
                <w:sz w:val="22"/>
              </w:rPr>
              <w:t>EK_14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sz w:val="20"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EK_17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EK_18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EK_19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lastRenderedPageBreak/>
              <w:t>EK_20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EK_21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EK_22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EK_23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EK_24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EK_25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  <w:tr w:rsidR="003407E7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r>
              <w:rPr>
                <w:rFonts w:ascii="Corbel" w:hAnsi="Corbel"/>
              </w:rPr>
              <w:t>EK_26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OBSERWACJA W TRAKCIE ZAJĘĆ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jc w:val="center"/>
            </w:pPr>
            <w:r>
              <w:rPr>
                <w:rFonts w:ascii="Corbel" w:hAnsi="Corbel"/>
              </w:rPr>
              <w:t>WYKŁAD, ĆWICZENIA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4.2 Warunki zaliczenia przedmiotu (kryteria oceniania) </w:t>
      </w:r>
    </w:p>
    <w:p w:rsidR="003407E7" w:rsidRDefault="003407E7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9670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3407E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>Wykład</w:t>
            </w:r>
            <w:r>
              <w:rPr>
                <w:rFonts w:ascii="Corbel" w:eastAsia="Cambria" w:hAnsi="Corbel"/>
              </w:rPr>
              <w:t xml:space="preserve"> </w:t>
            </w:r>
          </w:p>
          <w:p w:rsidR="003407E7" w:rsidRDefault="00B75E48">
            <w:pPr>
              <w:spacing w:after="0" w:line="240" w:lineRule="auto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</w:rPr>
              <w:t xml:space="preserve"> Egzamin pisemny w formie testowej</w:t>
            </w:r>
            <w:r>
              <w:rPr>
                <w:rFonts w:ascii="Corbel" w:eastAsia="Cambria" w:hAnsi="Corbel"/>
              </w:rPr>
              <w:br/>
              <w:t>(16 pytań jednokrotnego wyboru)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Maksymalna liczba punktów do uzyskania: 16 pkt.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>Student otrzymuje ocenę pozytywną uzyskując co najmniej 50 % maksymalnej liczby punktów (8 pkt.)</w:t>
            </w:r>
          </w:p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egzaminu  -  15 min.</w:t>
            </w:r>
          </w:p>
          <w:p w:rsidR="003407E7" w:rsidRDefault="003407E7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sz w:val="18"/>
              </w:rPr>
            </w:pPr>
            <w:r>
              <w:rPr>
                <w:rFonts w:ascii="Corbel" w:eastAsia="Cambria" w:hAnsi="Corbel"/>
                <w:b/>
              </w:rPr>
              <w:t xml:space="preserve">Ćwiczenia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>
              <w:rPr>
                <w:rFonts w:ascii="Corbel" w:eastAsia="Cambria" w:hAnsi="Corbel"/>
                <w:iCs/>
              </w:rPr>
              <w:t xml:space="preserve">Zaliczenie z przedmiotu z oceną:  KOLOKWIUM, </w:t>
            </w:r>
            <w:r>
              <w:rPr>
                <w:rFonts w:ascii="Corbel" w:eastAsia="Cambria" w:hAnsi="Corbel"/>
                <w:b/>
                <w:iCs/>
              </w:rPr>
              <w:t xml:space="preserve">forma testowo-opisowa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iCs/>
                <w:sz w:val="18"/>
              </w:rPr>
            </w:pPr>
            <w:r>
              <w:rPr>
                <w:rFonts w:ascii="Corbel" w:eastAsia="Cambria" w:hAnsi="Corbel"/>
                <w:b/>
                <w:iCs/>
              </w:rPr>
              <w:t>Część testowa</w:t>
            </w:r>
            <w:r>
              <w:rPr>
                <w:rFonts w:ascii="Corbel" w:eastAsia="Cambria" w:hAnsi="Corbel"/>
                <w:iCs/>
              </w:rPr>
              <w:t xml:space="preserve"> składa się z pytań jednokrotnego wyboru (odpowiedź poprawna 1 pkt., odpowiedź błędna 0 pkt.) 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ambria" w:hAnsi="Corbel"/>
                <w:b/>
                <w:iCs/>
              </w:rPr>
              <w:t>Część opisowa</w:t>
            </w:r>
            <w:r>
              <w:rPr>
                <w:rFonts w:ascii="Corbel" w:eastAsia="Cambria" w:hAnsi="Corbel"/>
                <w:iCs/>
              </w:rPr>
              <w:t xml:space="preserve"> składa się  z 2 pytań otwartych (odpowiedź poprawna pełna– 2 pkt., odpowiedź poprawna niepełna 1 pkt., odpowiedź błędna 0 pkt.)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eastAsia="Cambria" w:hAnsi="Corbel"/>
                <w:b/>
                <w:iCs/>
                <w:sz w:val="18"/>
              </w:rPr>
            </w:pPr>
            <w:r>
              <w:rPr>
                <w:rFonts w:ascii="Corbel" w:eastAsia="Cambria" w:hAnsi="Corbel"/>
                <w:b/>
                <w:iCs/>
              </w:rPr>
              <w:t>Maksymalna liczba punktów do uzyskania: 16 pkt.</w:t>
            </w:r>
          </w:p>
          <w:p w:rsidR="003407E7" w:rsidRDefault="00B75E48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eastAsia="Cambria" w:hAnsi="Corbel"/>
                <w:iCs/>
              </w:rPr>
              <w:t>Student otrzymuje</w:t>
            </w:r>
            <w:r>
              <w:rPr>
                <w:rFonts w:ascii="Corbel" w:eastAsia="Cambria" w:hAnsi="Corbel"/>
                <w:b/>
                <w:iCs/>
              </w:rPr>
              <w:t xml:space="preserve"> ocenę pozytywną uzyskując co najmniej 50 % maksymalnej liczby punktów </w:t>
            </w:r>
          </w:p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eastAsia="Cambria" w:hAnsi="Corbel"/>
                <w:b w:val="0"/>
                <w:iCs/>
                <w:smallCaps w:val="0"/>
                <w:sz w:val="22"/>
              </w:rPr>
              <w:t>Przewidywany czas trwania zaliczenia -  15 min.</w:t>
            </w:r>
          </w:p>
        </w:tc>
      </w:tr>
    </w:tbl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9639" w:type="dxa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6"/>
        <w:gridCol w:w="4673"/>
      </w:tblGrid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07E7" w:rsidRDefault="00B75E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kontaktowe wynikające z harmonogramu studiów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Wykład- 30 godz. </w:t>
            </w:r>
          </w:p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 - 30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Inne z udziałem nauczyciela</w:t>
            </w:r>
          </w:p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3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Godziny niekontaktowe – praca własna studenta</w:t>
            </w:r>
          </w:p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115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178 godz.</w:t>
            </w:r>
          </w:p>
        </w:tc>
      </w:tr>
      <w:tr w:rsidR="003407E7"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b/>
                <w:bCs/>
              </w:rPr>
              <w:t>6</w:t>
            </w:r>
          </w:p>
        </w:tc>
      </w:tr>
    </w:tbl>
    <w:p w:rsidR="003407E7" w:rsidRDefault="00B75E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:rsidR="003407E7" w:rsidRDefault="003407E7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6. PRAKTYKI ZAWODOWE W RAMACH PRZEDMIOTU </w:t>
      </w:r>
    </w:p>
    <w:p w:rsidR="003407E7" w:rsidRDefault="003407E7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3407E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3407E7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Default="00B75E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 w:val="22"/>
        </w:rPr>
        <w:t xml:space="preserve">7. LITERATURA </w:t>
      </w:r>
    </w:p>
    <w:p w:rsidR="003407E7" w:rsidRDefault="003407E7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3407E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>Literatura podstawowa:</w:t>
            </w:r>
          </w:p>
          <w:p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</w:rPr>
              <w:t>Organy i korporacje ochrony prawa,</w:t>
            </w:r>
            <w:r>
              <w:rPr>
                <w:rFonts w:ascii="Corbel" w:hAnsi="Corbel"/>
              </w:rPr>
              <w:t xml:space="preserve"> red. S. Sagan, V. </w:t>
            </w:r>
            <w:proofErr w:type="spellStart"/>
            <w:r>
              <w:rPr>
                <w:rFonts w:ascii="Corbel" w:hAnsi="Corbel"/>
              </w:rPr>
              <w:t>Serzhanova</w:t>
            </w:r>
            <w:proofErr w:type="spellEnd"/>
            <w:r>
              <w:rPr>
                <w:rFonts w:ascii="Corbel" w:hAnsi="Corbel"/>
              </w:rPr>
              <w:t>, Warszawa 2014.</w:t>
            </w:r>
          </w:p>
        </w:tc>
      </w:tr>
      <w:tr w:rsidR="003407E7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07E7" w:rsidRPr="00EE6605" w:rsidRDefault="00B75E48">
            <w:pPr>
              <w:spacing w:after="0" w:line="240" w:lineRule="auto"/>
              <w:rPr>
                <w:rFonts w:ascii="Corbel" w:hAnsi="Corbel"/>
                <w:b/>
              </w:rPr>
            </w:pPr>
            <w:r w:rsidRPr="00EE6605">
              <w:rPr>
                <w:rFonts w:ascii="Corbel" w:hAnsi="Corbel"/>
                <w:b/>
              </w:rPr>
              <w:t xml:space="preserve">Literatura uzupełniająca: </w:t>
            </w:r>
          </w:p>
          <w:p w:rsidR="00EE6605" w:rsidRDefault="00EE6605">
            <w:pPr>
              <w:spacing w:after="0" w:line="240" w:lineRule="auto"/>
              <w:rPr>
                <w:rFonts w:ascii="Corbel" w:hAnsi="Corbel"/>
              </w:rPr>
            </w:pP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Sagan S., V. </w:t>
            </w:r>
            <w:proofErr w:type="spellStart"/>
            <w:r>
              <w:rPr>
                <w:rFonts w:ascii="Corbel" w:eastAsia="Times New Roman" w:hAnsi="Corbel"/>
                <w:lang w:eastAsia="pl-PL"/>
              </w:rPr>
              <w:t>Serzhanova</w:t>
            </w:r>
            <w:proofErr w:type="spellEnd"/>
            <w:r>
              <w:rPr>
                <w:rFonts w:ascii="Corbel" w:eastAsia="Times New Roman" w:hAnsi="Corbel"/>
                <w:lang w:eastAsia="pl-PL"/>
              </w:rPr>
              <w:t xml:space="preserve">, </w:t>
            </w:r>
            <w:r>
              <w:rPr>
                <w:rFonts w:ascii="Corbel" w:eastAsia="Times New Roman" w:hAnsi="Corbel"/>
                <w:i/>
                <w:lang w:eastAsia="pl-PL"/>
              </w:rPr>
              <w:t>Nauka o państwie współczesnym</w:t>
            </w:r>
            <w:r>
              <w:rPr>
                <w:rFonts w:ascii="Corbel" w:eastAsia="Times New Roman" w:hAnsi="Corbel"/>
                <w:lang w:eastAsia="pl-PL"/>
              </w:rPr>
              <w:t>, Warszawa 2013.</w:t>
            </w: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Serafin S., Szmulik B., </w:t>
            </w:r>
            <w:r>
              <w:rPr>
                <w:rFonts w:ascii="Corbel" w:eastAsia="Times New Roman" w:hAnsi="Corbel"/>
                <w:i/>
                <w:lang w:eastAsia="pl-PL"/>
              </w:rPr>
              <w:t>Organy ochrony prawnej RP</w:t>
            </w:r>
            <w:r>
              <w:rPr>
                <w:rFonts w:ascii="Corbel" w:eastAsia="Times New Roman" w:hAnsi="Corbel"/>
                <w:iCs/>
                <w:lang w:eastAsia="pl-PL"/>
              </w:rPr>
              <w:t>,</w:t>
            </w:r>
            <w:r>
              <w:rPr>
                <w:rFonts w:ascii="Corbel" w:eastAsia="Times New Roman" w:hAnsi="Corbel"/>
                <w:i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lang w:eastAsia="pl-PL"/>
              </w:rPr>
              <w:t>Warszawa 2010.</w:t>
            </w:r>
          </w:p>
          <w:p w:rsidR="003407E7" w:rsidRDefault="00B75E48">
            <w:pPr>
              <w:widowControl w:val="0"/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i/>
                <w:lang w:eastAsia="pl-PL"/>
              </w:rPr>
              <w:t>Organy państwowe w ustroju konstytucyjnym RP</w:t>
            </w:r>
            <w:r>
              <w:rPr>
                <w:rFonts w:ascii="Corbel" w:eastAsia="Times New Roman" w:hAnsi="Corbel"/>
                <w:lang w:eastAsia="pl-PL"/>
              </w:rPr>
              <w:t>, red. H. Zięba-Załucka, Rzeszów 2016.</w:t>
            </w: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Bodio</w:t>
            </w:r>
            <w:proofErr w:type="spellEnd"/>
            <w:r>
              <w:rPr>
                <w:rFonts w:ascii="Corbel" w:hAnsi="Corbel"/>
              </w:rPr>
              <w:t xml:space="preserve"> J., Borkowski G., </w:t>
            </w:r>
            <w:proofErr w:type="spellStart"/>
            <w:r>
              <w:rPr>
                <w:rFonts w:ascii="Corbel" w:hAnsi="Corbel"/>
              </w:rPr>
              <w:t>Demendecki</w:t>
            </w:r>
            <w:proofErr w:type="spellEnd"/>
            <w:r>
              <w:rPr>
                <w:rFonts w:ascii="Corbel" w:hAnsi="Corbel"/>
              </w:rPr>
              <w:t xml:space="preserve"> T., </w:t>
            </w:r>
            <w:r>
              <w:rPr>
                <w:rFonts w:ascii="Corbel" w:hAnsi="Corbel"/>
                <w:i/>
              </w:rPr>
              <w:t>Ustrój organów ochrony prawnej</w:t>
            </w:r>
            <w:r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  <w:i/>
              </w:rPr>
              <w:t xml:space="preserve">Część szczegółowa, </w:t>
            </w:r>
            <w:r>
              <w:rPr>
                <w:rFonts w:ascii="Corbel" w:hAnsi="Corbel"/>
              </w:rPr>
              <w:t xml:space="preserve">Warszawa 2016. </w:t>
            </w:r>
          </w:p>
          <w:p w:rsidR="003407E7" w:rsidRDefault="00B75E4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Winczorek P., </w:t>
            </w:r>
            <w:r>
              <w:rPr>
                <w:rFonts w:ascii="Corbel" w:hAnsi="Corbel"/>
                <w:i/>
              </w:rPr>
              <w:t>Konstytucyjny system organów państwowych</w:t>
            </w:r>
            <w:r>
              <w:rPr>
                <w:rFonts w:ascii="Corbel" w:hAnsi="Corbel"/>
              </w:rPr>
              <w:t>, Warszawa 2012.</w:t>
            </w:r>
          </w:p>
        </w:tc>
      </w:tr>
    </w:tbl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3407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3407E7" w:rsidRDefault="00B75E48">
      <w:pPr>
        <w:pStyle w:val="Punktygwne"/>
        <w:spacing w:before="0" w:after="0"/>
        <w:ind w:left="360"/>
      </w:pPr>
      <w:r>
        <w:rPr>
          <w:b w:val="0"/>
          <w:smallCaps w:val="0"/>
          <w:sz w:val="22"/>
        </w:rPr>
        <w:t xml:space="preserve">AKCEPTACJA KIEROWNIKA JEDNOSTKI LUB OSOBY UPOWAŻNIONEJ </w:t>
      </w:r>
    </w:p>
    <w:p w:rsidR="003407E7" w:rsidRDefault="003407E7">
      <w:pPr>
        <w:pStyle w:val="Punktygwne"/>
        <w:spacing w:before="0" w:after="0"/>
        <w:ind w:left="360"/>
      </w:pPr>
    </w:p>
    <w:sectPr w:rsidR="003407E7" w:rsidSect="00F51BAB">
      <w:pgSz w:w="11906" w:h="16838"/>
      <w:pgMar w:top="567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A08" w:rsidRDefault="00786A08">
      <w:pPr>
        <w:spacing w:after="0" w:line="240" w:lineRule="auto"/>
      </w:pPr>
      <w:r>
        <w:separator/>
      </w:r>
    </w:p>
  </w:endnote>
  <w:endnote w:type="continuationSeparator" w:id="0">
    <w:p w:rsidR="00786A08" w:rsidRDefault="0078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;ＭＳ ゴシック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A08" w:rsidRDefault="00786A08">
      <w:r>
        <w:separator/>
      </w:r>
    </w:p>
  </w:footnote>
  <w:footnote w:type="continuationSeparator" w:id="0">
    <w:p w:rsidR="00786A08" w:rsidRDefault="00786A08">
      <w:r>
        <w:continuationSeparator/>
      </w:r>
    </w:p>
  </w:footnote>
  <w:footnote w:id="1">
    <w:p w:rsidR="003407E7" w:rsidRDefault="00B75E4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47355"/>
    <w:multiLevelType w:val="multilevel"/>
    <w:tmpl w:val="89786B9C"/>
    <w:lvl w:ilvl="0">
      <w:start w:val="1"/>
      <w:numFmt w:val="decimal"/>
      <w:lvlText w:val="%1."/>
      <w:lvlJc w:val="left"/>
      <w:pPr>
        <w:ind w:left="820" w:hanging="360"/>
      </w:pPr>
    </w:lvl>
    <w:lvl w:ilvl="1">
      <w:start w:val="1"/>
      <w:numFmt w:val="lowerLetter"/>
      <w:lvlText w:val="%2."/>
      <w:lvlJc w:val="left"/>
      <w:pPr>
        <w:ind w:left="1540" w:hanging="360"/>
      </w:pPr>
    </w:lvl>
    <w:lvl w:ilvl="2">
      <w:start w:val="1"/>
      <w:numFmt w:val="lowerRoman"/>
      <w:lvlText w:val="%3."/>
      <w:lvlJc w:val="right"/>
      <w:pPr>
        <w:ind w:left="2260" w:hanging="180"/>
      </w:pPr>
    </w:lvl>
    <w:lvl w:ilvl="3">
      <w:start w:val="1"/>
      <w:numFmt w:val="decimal"/>
      <w:lvlText w:val="%4."/>
      <w:lvlJc w:val="left"/>
      <w:pPr>
        <w:ind w:left="2980" w:hanging="360"/>
      </w:pPr>
    </w:lvl>
    <w:lvl w:ilvl="4">
      <w:start w:val="1"/>
      <w:numFmt w:val="lowerLetter"/>
      <w:lvlText w:val="%5."/>
      <w:lvlJc w:val="left"/>
      <w:pPr>
        <w:ind w:left="3700" w:hanging="360"/>
      </w:pPr>
    </w:lvl>
    <w:lvl w:ilvl="5">
      <w:start w:val="1"/>
      <w:numFmt w:val="lowerRoman"/>
      <w:lvlText w:val="%6."/>
      <w:lvlJc w:val="right"/>
      <w:pPr>
        <w:ind w:left="4420" w:hanging="180"/>
      </w:pPr>
    </w:lvl>
    <w:lvl w:ilvl="6">
      <w:start w:val="1"/>
      <w:numFmt w:val="decimal"/>
      <w:lvlText w:val="%7."/>
      <w:lvlJc w:val="left"/>
      <w:pPr>
        <w:ind w:left="5140" w:hanging="360"/>
      </w:pPr>
    </w:lvl>
    <w:lvl w:ilvl="7">
      <w:start w:val="1"/>
      <w:numFmt w:val="lowerLetter"/>
      <w:lvlText w:val="%8."/>
      <w:lvlJc w:val="left"/>
      <w:pPr>
        <w:ind w:left="5860" w:hanging="360"/>
      </w:pPr>
    </w:lvl>
    <w:lvl w:ilvl="8">
      <w:start w:val="1"/>
      <w:numFmt w:val="lowerRoman"/>
      <w:lvlText w:val="%9."/>
      <w:lvlJc w:val="right"/>
      <w:pPr>
        <w:ind w:left="6580" w:hanging="180"/>
      </w:pPr>
    </w:lvl>
  </w:abstractNum>
  <w:abstractNum w:abstractNumId="1" w15:restartNumberingAfterBreak="0">
    <w:nsid w:val="4CD12DE3"/>
    <w:multiLevelType w:val="multilevel"/>
    <w:tmpl w:val="22E862A8"/>
    <w:lvl w:ilvl="0">
      <w:start w:val="1"/>
      <w:numFmt w:val="decimal"/>
      <w:lvlText w:val="%1."/>
      <w:lvlJc w:val="left"/>
      <w:pPr>
        <w:ind w:left="644" w:hanging="360"/>
      </w:pPr>
      <w:rPr>
        <w:rFonts w:ascii="Corbel" w:hAnsi="Corbel"/>
        <w:b/>
        <w:sz w:val="1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32D77EA"/>
    <w:multiLevelType w:val="multilevel"/>
    <w:tmpl w:val="3168CF6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E7"/>
    <w:rsid w:val="0010683D"/>
    <w:rsid w:val="003407E7"/>
    <w:rsid w:val="0034358C"/>
    <w:rsid w:val="00786A08"/>
    <w:rsid w:val="009D1AFD"/>
    <w:rsid w:val="00B75E48"/>
    <w:rsid w:val="00EE6605"/>
    <w:rsid w:val="00F5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A220F"/>
  <w15:docId w15:val="{EFFF66D6-2FDC-4E21-9394-1702668C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8z0">
    <w:name w:val="WW8Num8z0"/>
    <w:qFormat/>
    <w:rPr>
      <w:b w:val="0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6z0">
    <w:name w:val="WW8Num6z0"/>
    <w:qFormat/>
    <w:rPr>
      <w:b w:val="0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2z0">
    <w:name w:val="WW8Num2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hAnsi="Corbel"/>
      <w:b w:val="0"/>
    </w:rPr>
  </w:style>
  <w:style w:type="character" w:customStyle="1" w:styleId="ListLabel2">
    <w:name w:val="ListLabel 2"/>
    <w:qFormat/>
    <w:rPr>
      <w:rFonts w:ascii="Corbel" w:hAnsi="Corbel"/>
      <w:b w:val="0"/>
    </w:rPr>
  </w:style>
  <w:style w:type="character" w:customStyle="1" w:styleId="ListLabel3">
    <w:name w:val="ListLabel 3"/>
    <w:qFormat/>
    <w:rPr>
      <w:rFonts w:ascii="Corbel" w:hAnsi="Corbel" w:cs="Times New Roman"/>
      <w:i w:val="0"/>
      <w:sz w:val="24"/>
      <w:szCs w:val="20"/>
    </w:rPr>
  </w:style>
  <w:style w:type="character" w:customStyle="1" w:styleId="WW8Num11z0">
    <w:name w:val="WW8Num11z0"/>
    <w:qFormat/>
    <w:rPr>
      <w:rFonts w:ascii="Times New Roman" w:hAnsi="Times New Roman" w:cs="Times New Roman"/>
      <w:i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Znakinumeracji">
    <w:name w:val="Znaki numeracji"/>
    <w:qFormat/>
  </w:style>
  <w:style w:type="character" w:customStyle="1" w:styleId="ListLabel4">
    <w:name w:val="ListLabel 4"/>
    <w:qFormat/>
    <w:rPr>
      <w:rFonts w:ascii="Corbel" w:hAnsi="Corbel"/>
      <w:b w:val="0"/>
    </w:rPr>
  </w:style>
  <w:style w:type="character" w:customStyle="1" w:styleId="ListLabel5">
    <w:name w:val="ListLabel 5"/>
    <w:qFormat/>
    <w:rPr>
      <w:rFonts w:ascii="Corbel" w:hAnsi="Corbel"/>
      <w:b w:val="0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6">
    <w:name w:val="ListLabel 6"/>
    <w:qFormat/>
    <w:rPr>
      <w:b w:val="0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7">
    <w:name w:val="ListLabel 7"/>
    <w:qFormat/>
    <w:rPr>
      <w:b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8">
    <w:name w:val="ListLabel 8"/>
    <w:qFormat/>
    <w:rPr>
      <w:rFonts w:ascii="Corbel" w:hAnsi="Corbel"/>
      <w:b/>
      <w:sz w:val="18"/>
    </w:rPr>
  </w:style>
  <w:style w:type="character" w:customStyle="1" w:styleId="ListLabel9">
    <w:name w:val="ListLabel 9"/>
    <w:qFormat/>
    <w:rPr>
      <w:rFonts w:ascii="Corbel" w:hAnsi="Corbel"/>
      <w:b/>
      <w:sz w:val="18"/>
    </w:rPr>
  </w:style>
  <w:style w:type="character" w:customStyle="1" w:styleId="ListLabel10">
    <w:name w:val="ListLabel 10"/>
    <w:qFormat/>
    <w:rPr>
      <w:rFonts w:ascii="Corbel" w:hAnsi="Corbel"/>
      <w:b/>
      <w:sz w:val="18"/>
    </w:rPr>
  </w:style>
  <w:style w:type="character" w:customStyle="1" w:styleId="ListLabel11">
    <w:name w:val="ListLabel 11"/>
    <w:qFormat/>
    <w:rPr>
      <w:rFonts w:ascii="Corbel" w:hAnsi="Corbel"/>
      <w:b/>
      <w:sz w:val="18"/>
    </w:rPr>
  </w:style>
  <w:style w:type="character" w:customStyle="1" w:styleId="ListLabel12">
    <w:name w:val="ListLabel 12"/>
    <w:qFormat/>
    <w:rPr>
      <w:rFonts w:ascii="Corbel" w:hAnsi="Corbel"/>
      <w:b/>
      <w:sz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nyWeb">
    <w:name w:val="Normal (Web)"/>
    <w:basedOn w:val="Normalny"/>
    <w:qFormat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numbering" w:customStyle="1" w:styleId="WW8Num8">
    <w:name w:val="WW8Num8"/>
    <w:qFormat/>
  </w:style>
  <w:style w:type="numbering" w:customStyle="1" w:styleId="WW8Num6">
    <w:name w:val="WW8Num6"/>
    <w:qFormat/>
  </w:style>
  <w:style w:type="numbering" w:customStyle="1" w:styleId="WW8Num2">
    <w:name w:val="WW8Num2"/>
    <w:qFormat/>
  </w:style>
  <w:style w:type="numbering" w:customStyle="1" w:styleId="WW8Num11">
    <w:name w:val="WW8Num11"/>
    <w:qFormat/>
  </w:style>
  <w:style w:type="numbering" w:customStyle="1" w:styleId="WW8Num1">
    <w:name w:val="WW8Num1"/>
    <w:qFormat/>
  </w:style>
  <w:style w:type="numbering" w:customStyle="1" w:styleId="WW8Num5">
    <w:name w:val="WW8Num5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94813-ACEE-49CC-BCA8-C8364B58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1998</Words>
  <Characters>11989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Pikus Anna</cp:lastModifiedBy>
  <cp:revision>6</cp:revision>
  <cp:lastPrinted>2019-09-18T20:08:00Z</cp:lastPrinted>
  <dcterms:created xsi:type="dcterms:W3CDTF">2021-10-26T08:12:00Z</dcterms:created>
  <dcterms:modified xsi:type="dcterms:W3CDTF">2022-02-08T12:04:00Z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